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DE" w:rsidRDefault="00102CDE" w:rsidP="00FA1A54">
      <w:pPr>
        <w:overflowPunct/>
        <w:jc w:val="both"/>
        <w:textAlignment w:val="auto"/>
        <w:rPr>
          <w:rFonts w:asciiTheme="minorHAnsi" w:hAnsiTheme="minorHAnsi"/>
          <w:szCs w:val="24"/>
        </w:rPr>
        <w:sectPr w:rsidR="00102CDE" w:rsidSect="00DB590E">
          <w:headerReference w:type="default" r:id="rId8"/>
          <w:footerReference w:type="default" r:id="rId9"/>
          <w:pgSz w:w="11907" w:h="16839" w:code="9"/>
          <w:pgMar w:top="567" w:right="1134" w:bottom="567" w:left="1418" w:header="397" w:footer="397" w:gutter="0"/>
          <w:cols w:space="720"/>
          <w:docGrid w:linePitch="360"/>
        </w:sectPr>
      </w:pPr>
    </w:p>
    <w:tbl>
      <w:tblPr>
        <w:tblStyle w:val="TableGrid"/>
        <w:tblW w:w="2127" w:type="dxa"/>
        <w:tblInd w:w="108" w:type="dxa"/>
        <w:tblLook w:val="04A0" w:firstRow="1" w:lastRow="0" w:firstColumn="1" w:lastColumn="0" w:noHBand="0" w:noVBand="1"/>
      </w:tblPr>
      <w:tblGrid>
        <w:gridCol w:w="691"/>
        <w:gridCol w:w="1436"/>
      </w:tblGrid>
      <w:tr w:rsidR="001B1D9E" w:rsidRPr="00A071E4" w:rsidTr="001B1D9E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B1D9E" w:rsidRPr="00A071E4" w:rsidRDefault="001B1D9E" w:rsidP="001B1D9E">
            <w:pPr>
              <w:tabs>
                <w:tab w:val="center" w:pos="955"/>
                <w:tab w:val="right" w:pos="1911"/>
              </w:tabs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Broj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D9E" w:rsidRPr="00A071E4" w:rsidRDefault="00062775" w:rsidP="004C359F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Broj"/>
                  <w:enabled/>
                  <w:calcOnExit w:val="0"/>
                  <w:textInput/>
                </w:ffData>
              </w:fldChar>
            </w:r>
            <w:bookmarkStart w:id="0" w:name="Broj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bookmarkStart w:id="1" w:name="_GoBack"/>
            <w:r w:rsidR="004C359F" w:rsidRPr="00A071E4">
              <w:rPr>
                <w:rFonts w:ascii="Tahoma" w:hAnsi="Tahoma" w:cs="Tahoma"/>
                <w:sz w:val="20"/>
                <w:szCs w:val="24"/>
              </w:rPr>
              <w:t> </w:t>
            </w:r>
            <w:r w:rsidR="004C359F" w:rsidRPr="00A071E4">
              <w:rPr>
                <w:rFonts w:ascii="Tahoma" w:hAnsi="Tahoma" w:cs="Tahoma"/>
                <w:sz w:val="20"/>
                <w:szCs w:val="24"/>
              </w:rPr>
              <w:t> </w:t>
            </w:r>
            <w:r w:rsidR="004C359F" w:rsidRPr="00A071E4">
              <w:rPr>
                <w:rFonts w:ascii="Tahoma" w:hAnsi="Tahoma" w:cs="Tahoma"/>
                <w:sz w:val="20"/>
                <w:szCs w:val="24"/>
              </w:rPr>
              <w:t> </w:t>
            </w:r>
            <w:r w:rsidR="004C359F" w:rsidRPr="00A071E4">
              <w:rPr>
                <w:rFonts w:ascii="Tahoma" w:hAnsi="Tahoma" w:cs="Tahoma"/>
                <w:sz w:val="20"/>
                <w:szCs w:val="24"/>
              </w:rPr>
              <w:t> </w:t>
            </w:r>
            <w:r w:rsidR="004C359F" w:rsidRPr="00A071E4">
              <w:rPr>
                <w:rFonts w:ascii="Tahoma" w:hAnsi="Tahoma" w:cs="Tahoma"/>
                <w:sz w:val="20"/>
                <w:szCs w:val="24"/>
              </w:rPr>
              <w:t> </w:t>
            </w:r>
            <w:bookmarkEnd w:id="1"/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6526E7" w:rsidRPr="00DB590E" w:rsidRDefault="00433A66" w:rsidP="00DB590E">
      <w:pPr>
        <w:jc w:val="center"/>
        <w:rPr>
          <w:rFonts w:ascii="Tahoma" w:hAnsi="Tahoma" w:cs="Tahoma"/>
          <w:b/>
          <w:sz w:val="22"/>
          <w:szCs w:val="26"/>
        </w:rPr>
      </w:pPr>
      <w:r w:rsidRPr="000B3BAE">
        <w:rPr>
          <w:rFonts w:ascii="Tahoma" w:hAnsi="Tahoma" w:cs="Tahoma"/>
          <w:b/>
          <w:szCs w:val="32"/>
        </w:rPr>
        <w:t>U G O V O R</w:t>
      </w:r>
      <w:r w:rsidRPr="000B3BAE">
        <w:rPr>
          <w:rFonts w:ascii="Tahoma" w:hAnsi="Tahoma" w:cs="Tahoma"/>
          <w:b/>
          <w:szCs w:val="32"/>
        </w:rPr>
        <w:br/>
      </w:r>
      <w:r w:rsidRPr="00DB590E">
        <w:rPr>
          <w:rFonts w:ascii="Tahoma" w:hAnsi="Tahoma" w:cs="Tahoma"/>
          <w:b/>
          <w:sz w:val="22"/>
          <w:szCs w:val="26"/>
        </w:rPr>
        <w:t xml:space="preserve">O OTVARANJU, VOĐENJU I </w:t>
      </w:r>
      <w:r w:rsidR="00FA1A54" w:rsidRPr="00DB590E">
        <w:rPr>
          <w:rFonts w:ascii="Tahoma" w:hAnsi="Tahoma" w:cs="Tahoma"/>
          <w:b/>
          <w:sz w:val="22"/>
          <w:szCs w:val="26"/>
        </w:rPr>
        <w:t>UKIDANJU</w:t>
      </w:r>
    </w:p>
    <w:p w:rsidR="00433A66" w:rsidRPr="00DB590E" w:rsidRDefault="00433A66" w:rsidP="00DB590E">
      <w:pPr>
        <w:jc w:val="center"/>
        <w:rPr>
          <w:rFonts w:ascii="Tahoma" w:hAnsi="Tahoma" w:cs="Tahoma"/>
          <w:b/>
          <w:sz w:val="22"/>
          <w:szCs w:val="26"/>
        </w:rPr>
      </w:pPr>
      <w:r w:rsidRPr="00DB590E">
        <w:rPr>
          <w:rFonts w:ascii="Tahoma" w:hAnsi="Tahoma" w:cs="Tahoma"/>
          <w:b/>
          <w:sz w:val="22"/>
          <w:szCs w:val="26"/>
        </w:rPr>
        <w:t>T</w:t>
      </w:r>
      <w:r w:rsidR="00FA1A54" w:rsidRPr="00DB590E">
        <w:rPr>
          <w:rFonts w:ascii="Tahoma" w:hAnsi="Tahoma" w:cs="Tahoma"/>
          <w:b/>
          <w:sz w:val="22"/>
          <w:szCs w:val="26"/>
        </w:rPr>
        <w:t>RANSAKCION</w:t>
      </w:r>
      <w:r w:rsidR="00860A73" w:rsidRPr="00DB590E">
        <w:rPr>
          <w:rFonts w:ascii="Tahoma" w:hAnsi="Tahoma" w:cs="Tahoma"/>
          <w:b/>
          <w:sz w:val="22"/>
          <w:szCs w:val="26"/>
        </w:rPr>
        <w:t>OG RAČUNA</w:t>
      </w:r>
      <w:r w:rsidR="006526E7" w:rsidRPr="00DB590E">
        <w:rPr>
          <w:rFonts w:ascii="Tahoma" w:hAnsi="Tahoma" w:cs="Tahoma"/>
          <w:sz w:val="22"/>
          <w:szCs w:val="26"/>
        </w:rPr>
        <w:t xml:space="preserve"> </w:t>
      </w:r>
      <w:r w:rsidR="006526E7" w:rsidRPr="00DB590E">
        <w:rPr>
          <w:rFonts w:ascii="Tahoma" w:hAnsi="Tahoma" w:cs="Tahoma"/>
          <w:b/>
          <w:sz w:val="22"/>
          <w:szCs w:val="26"/>
        </w:rPr>
        <w:t>PRAVNIH LICA I PREDUZETNIKA</w:t>
      </w:r>
    </w:p>
    <w:tbl>
      <w:tblPr>
        <w:tblStyle w:val="TableGrid"/>
        <w:tblW w:w="8389" w:type="dxa"/>
        <w:tblInd w:w="-34" w:type="dxa"/>
        <w:tblLook w:val="04A0" w:firstRow="1" w:lastRow="0" w:firstColumn="1" w:lastColumn="0" w:noHBand="0" w:noVBand="1"/>
      </w:tblPr>
      <w:tblGrid>
        <w:gridCol w:w="1276"/>
        <w:gridCol w:w="3959"/>
        <w:gridCol w:w="678"/>
        <w:gridCol w:w="1539"/>
        <w:gridCol w:w="937"/>
      </w:tblGrid>
      <w:tr w:rsidR="001B1D9E" w:rsidRPr="00A071E4" w:rsidTr="00DB590E">
        <w:trPr>
          <w:trHeight w:hRule="exact"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B1D9E" w:rsidRPr="00A071E4" w:rsidRDefault="001B1D9E" w:rsidP="00DB590E">
            <w:pPr>
              <w:spacing w:before="12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Zaključen u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B1D9E" w:rsidRPr="00A071E4" w:rsidRDefault="00062775" w:rsidP="00397799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Mjesto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jesto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B1D9E" w:rsidRPr="00A071E4" w:rsidRDefault="001B1D9E" w:rsidP="00DB590E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,</w:t>
            </w:r>
            <w:r w:rsidR="00FF640C" w:rsidRPr="00A071E4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Pr="00A071E4">
              <w:rPr>
                <w:rFonts w:ascii="Tahoma" w:hAnsi="Tahoma" w:cs="Tahoma"/>
                <w:sz w:val="20"/>
                <w:szCs w:val="24"/>
              </w:rPr>
              <w:t>dana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B1D9E" w:rsidRPr="00A071E4" w:rsidRDefault="00062775" w:rsidP="00397799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Datum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B1D9E" w:rsidRPr="00A071E4" w:rsidRDefault="001B1D9E" w:rsidP="00DB590E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godine,</w:t>
            </w:r>
          </w:p>
        </w:tc>
      </w:tr>
    </w:tbl>
    <w:p w:rsidR="008C7DD2" w:rsidRPr="00A071E4" w:rsidRDefault="008C7DD2" w:rsidP="001B1D9E">
      <w:pPr>
        <w:spacing w:before="60"/>
        <w:rPr>
          <w:rFonts w:ascii="Tahoma" w:hAnsi="Tahoma" w:cs="Tahoma"/>
          <w:sz w:val="20"/>
          <w:szCs w:val="24"/>
        </w:rPr>
      </w:pPr>
      <w:r w:rsidRPr="00A071E4">
        <w:rPr>
          <w:rFonts w:ascii="Tahoma" w:hAnsi="Tahoma" w:cs="Tahoma"/>
          <w:sz w:val="20"/>
          <w:szCs w:val="24"/>
        </w:rPr>
        <w:t xml:space="preserve">Između: </w:t>
      </w:r>
    </w:p>
    <w:p w:rsidR="008C7DD2" w:rsidRPr="00A071E4" w:rsidRDefault="00137519" w:rsidP="00137519">
      <w:pPr>
        <w:numPr>
          <w:ilvl w:val="0"/>
          <w:numId w:val="4"/>
        </w:numPr>
        <w:overflowPunct/>
        <w:autoSpaceDE/>
        <w:autoSpaceDN/>
        <w:adjustRightInd/>
        <w:spacing w:before="60"/>
        <w:ind w:right="414"/>
        <w:textAlignment w:val="auto"/>
        <w:rPr>
          <w:rFonts w:ascii="Tahoma" w:hAnsi="Tahoma" w:cs="Tahoma"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>ZIRAAT BANK MONTENEGRO</w:t>
      </w:r>
      <w:r w:rsidR="003A66C9">
        <w:rPr>
          <w:rFonts w:ascii="Tahoma" w:hAnsi="Tahoma" w:cs="Tahoma"/>
          <w:b/>
          <w:sz w:val="20"/>
          <w:szCs w:val="24"/>
        </w:rPr>
        <w:t xml:space="preserve"> AD</w:t>
      </w:r>
      <w:r w:rsidR="008C7DD2" w:rsidRPr="00A071E4">
        <w:rPr>
          <w:rFonts w:ascii="Tahoma" w:hAnsi="Tahoma" w:cs="Tahoma"/>
          <w:sz w:val="20"/>
          <w:szCs w:val="24"/>
        </w:rPr>
        <w:t xml:space="preserve">, </w:t>
      </w:r>
      <w:r w:rsidR="003A66C9" w:rsidRPr="00E523B1">
        <w:rPr>
          <w:rFonts w:ascii="Tahoma" w:hAnsi="Tahoma" w:cs="Tahoma"/>
          <w:sz w:val="20"/>
          <w:lang w:val="pl-PL"/>
        </w:rPr>
        <w:t xml:space="preserve">sa sjedištem u Podgorici, adresa ulica Slobode br. 84, 81000 Podgorica, broj u CRPS Podgorica 4 –0009452; matični broj 03048136, transakcioni račun broj  </w:t>
      </w:r>
      <w:r w:rsidR="003A66C9" w:rsidRPr="00E523B1">
        <w:rPr>
          <w:rFonts w:ascii="Tahoma" w:hAnsi="Tahoma" w:cs="Tahoma"/>
          <w:sz w:val="20"/>
          <w:lang w:val="en-GB"/>
        </w:rPr>
        <w:t>575-1-22</w:t>
      </w:r>
      <w:r w:rsidR="003A66C9" w:rsidRPr="00E523B1">
        <w:rPr>
          <w:rFonts w:ascii="Tahoma" w:hAnsi="Tahoma" w:cs="Tahoma"/>
          <w:sz w:val="20"/>
          <w:lang w:val="pl-PL"/>
        </w:rPr>
        <w:t xml:space="preserve"> (u daljem tekstu: </w:t>
      </w:r>
      <w:r w:rsidR="003A66C9" w:rsidRPr="00E523B1">
        <w:rPr>
          <w:rFonts w:ascii="Tahoma" w:hAnsi="Tahoma" w:cs="Tahoma"/>
          <w:b/>
          <w:sz w:val="20"/>
          <w:lang w:val="pl-PL"/>
        </w:rPr>
        <w:t>„Banka”)</w:t>
      </w:r>
      <w:r w:rsidR="008C7DD2" w:rsidRPr="00A071E4">
        <w:rPr>
          <w:rFonts w:ascii="Tahoma" w:hAnsi="Tahoma" w:cs="Tahoma"/>
          <w:sz w:val="20"/>
          <w:szCs w:val="24"/>
        </w:rPr>
        <w:t xml:space="preserve">  i</w:t>
      </w:r>
    </w:p>
    <w:tbl>
      <w:tblPr>
        <w:tblStyle w:val="TableGrid"/>
        <w:tblW w:w="9923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369"/>
        <w:gridCol w:w="1321"/>
        <w:gridCol w:w="3381"/>
        <w:gridCol w:w="176"/>
        <w:gridCol w:w="1818"/>
        <w:gridCol w:w="172"/>
        <w:gridCol w:w="276"/>
        <w:gridCol w:w="2410"/>
      </w:tblGrid>
      <w:tr w:rsidR="001B1D9E" w:rsidRPr="00A071E4" w:rsidTr="00831B30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B1D9E" w:rsidRPr="00A071E4" w:rsidRDefault="009E6F59" w:rsidP="00CF0250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1B1D9E" w:rsidRPr="00A071E4">
              <w:rPr>
                <w:rFonts w:ascii="Tahoma" w:hAnsi="Tahoma" w:cs="Tahoma"/>
                <w:sz w:val="20"/>
                <w:szCs w:val="24"/>
              </w:rPr>
              <w:t>2.</w:t>
            </w:r>
          </w:p>
        </w:tc>
        <w:tc>
          <w:tcPr>
            <w:tcW w:w="95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B1D9E" w:rsidRPr="00A071E4" w:rsidRDefault="00062775" w:rsidP="00397799">
            <w:pPr>
              <w:spacing w:before="12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4"/>
          </w:p>
        </w:tc>
      </w:tr>
      <w:tr w:rsidR="001B1D9E" w:rsidRPr="00A071E4" w:rsidTr="00831B30">
        <w:trPr>
          <w:trHeight w:hRule="exact" w:val="28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B1D9E" w:rsidRPr="00A071E4" w:rsidRDefault="001B1D9E" w:rsidP="001B1D9E">
            <w:pPr>
              <w:spacing w:before="120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955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1D9E" w:rsidRPr="00A071E4" w:rsidRDefault="001B1D9E" w:rsidP="009878F5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A071E4">
              <w:rPr>
                <w:rFonts w:ascii="Tahoma" w:hAnsi="Tahoma" w:cs="Tahoma"/>
                <w:sz w:val="18"/>
                <w:szCs w:val="24"/>
              </w:rPr>
              <w:t>(naziv klijenta)</w:t>
            </w:r>
          </w:p>
        </w:tc>
      </w:tr>
      <w:tr w:rsidR="00FF640C" w:rsidRPr="00A071E4" w:rsidTr="00831B30">
        <w:tc>
          <w:tcPr>
            <w:tcW w:w="5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6F59" w:rsidRPr="00A071E4" w:rsidRDefault="008C7DD2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 xml:space="preserve">  </w:t>
            </w:r>
            <w:r w:rsidR="00062775"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5" w:name="Adresa"/>
            <w:r w:rsidR="00062775"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="00062775" w:rsidRPr="00A071E4">
              <w:rPr>
                <w:rFonts w:ascii="Tahoma" w:hAnsi="Tahoma" w:cs="Tahoma"/>
                <w:sz w:val="20"/>
                <w:szCs w:val="24"/>
              </w:rPr>
            </w:r>
            <w:r w:rsidR="00062775"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062775"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6F59" w:rsidRPr="00A071E4" w:rsidRDefault="00FF640C" w:rsidP="000B3BAE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,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E6F59" w:rsidRPr="00A071E4" w:rsidRDefault="00062775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Sifra_djelatnosti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Sifra_djelatnosti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6F59" w:rsidRPr="00A071E4" w:rsidRDefault="00FF640C" w:rsidP="000B3BAE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,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6F59" w:rsidRPr="00A071E4" w:rsidRDefault="00062775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M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MB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7"/>
          </w:p>
        </w:tc>
      </w:tr>
      <w:tr w:rsidR="00831B30" w:rsidRPr="00A071E4" w:rsidTr="00831B30">
        <w:tc>
          <w:tcPr>
            <w:tcW w:w="50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6F59" w:rsidRPr="000B3BAE" w:rsidRDefault="00FF640C" w:rsidP="00FF640C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0B3BAE">
              <w:rPr>
                <w:rFonts w:ascii="Tahoma" w:hAnsi="Tahoma" w:cs="Tahoma"/>
                <w:sz w:val="16"/>
                <w:szCs w:val="24"/>
              </w:rPr>
              <w:t>(mjesto i adresa)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6F59" w:rsidRPr="000B3BAE" w:rsidRDefault="009E6F59" w:rsidP="00FF640C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6F59" w:rsidRPr="000B3BAE" w:rsidRDefault="00FF640C" w:rsidP="00FF640C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0B3BAE">
              <w:rPr>
                <w:rFonts w:ascii="Tahoma" w:hAnsi="Tahoma" w:cs="Tahoma"/>
                <w:sz w:val="16"/>
                <w:szCs w:val="24"/>
              </w:rPr>
              <w:t>(šifra djelatnosti)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6F59" w:rsidRPr="000B3BAE" w:rsidRDefault="009E6F59" w:rsidP="00FF640C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6F59" w:rsidRPr="000B3BAE" w:rsidRDefault="00FF640C" w:rsidP="00FF640C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0B3BAE">
              <w:rPr>
                <w:rFonts w:ascii="Tahoma" w:hAnsi="Tahoma" w:cs="Tahoma"/>
                <w:sz w:val="16"/>
                <w:szCs w:val="24"/>
              </w:rPr>
              <w:t>(matični broj</w:t>
            </w:r>
          </w:p>
        </w:tc>
      </w:tr>
      <w:tr w:rsidR="00831B30" w:rsidRPr="00A071E4" w:rsidTr="00831B30"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B30" w:rsidRPr="00A071E4" w:rsidRDefault="00831B30" w:rsidP="000B3BAE">
            <w:pPr>
              <w:spacing w:before="6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koga zastupa: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1B30" w:rsidRPr="00A071E4" w:rsidRDefault="00062775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Ime_i_prezime"/>
                  <w:enabled/>
                  <w:calcOnExit w:val="0"/>
                  <w:textInput/>
                </w:ffData>
              </w:fldChar>
            </w:r>
            <w:bookmarkStart w:id="8" w:name="Ime_i_prezime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B30" w:rsidRPr="00A071E4" w:rsidRDefault="00831B30" w:rsidP="000B3BAE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 xml:space="preserve">(u daljem tekstu: </w:t>
            </w:r>
            <w:r w:rsidRPr="00A071E4">
              <w:rPr>
                <w:rFonts w:ascii="Tahoma" w:hAnsi="Tahoma" w:cs="Tahoma"/>
                <w:b/>
                <w:sz w:val="20"/>
                <w:szCs w:val="24"/>
              </w:rPr>
              <w:t>Klijent</w:t>
            </w:r>
            <w:r w:rsidRPr="00A071E4">
              <w:rPr>
                <w:rFonts w:ascii="Tahoma" w:hAnsi="Tahoma" w:cs="Tahoma"/>
                <w:sz w:val="20"/>
                <w:szCs w:val="24"/>
              </w:rPr>
              <w:t>)</w:t>
            </w:r>
          </w:p>
        </w:tc>
      </w:tr>
      <w:tr w:rsidR="00831B30" w:rsidRPr="00A071E4" w:rsidTr="00831B30">
        <w:trPr>
          <w:trHeight w:hRule="exact" w:val="284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B30" w:rsidRPr="00A071E4" w:rsidRDefault="00831B30" w:rsidP="00831B30">
            <w:pPr>
              <w:jc w:val="right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8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31B30" w:rsidRPr="000B3BAE" w:rsidRDefault="00831B30" w:rsidP="00831B30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0B3BAE">
              <w:rPr>
                <w:rFonts w:ascii="Tahoma" w:hAnsi="Tahoma" w:cs="Tahoma"/>
                <w:sz w:val="16"/>
                <w:szCs w:val="24"/>
              </w:rPr>
              <w:t>(ime, prezime i funkcija zastupnika)</w:t>
            </w:r>
          </w:p>
          <w:p w:rsidR="00831B30" w:rsidRPr="00A071E4" w:rsidRDefault="00831B30" w:rsidP="00831B30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B30" w:rsidRPr="00A071E4" w:rsidRDefault="00831B30" w:rsidP="00831B30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:rsidR="003A66C9" w:rsidRPr="00E523B1" w:rsidRDefault="003A66C9" w:rsidP="003A66C9">
      <w:pPr>
        <w:widowControl w:val="0"/>
        <w:jc w:val="both"/>
        <w:rPr>
          <w:rFonts w:ascii="Tahoma" w:hAnsi="Tahoma" w:cs="Tahoma"/>
          <w:sz w:val="20"/>
          <w:lang w:val="pl-PL"/>
        </w:rPr>
      </w:pPr>
      <w:r w:rsidRPr="00E523B1">
        <w:rPr>
          <w:rFonts w:ascii="Tahoma" w:hAnsi="Tahoma" w:cs="Tahoma"/>
          <w:sz w:val="20"/>
          <w:lang w:val="pl-PL"/>
        </w:rPr>
        <w:t>Zajednički naziv za Banku i Klijenta, u smislu odredaba ovog Ugovora, u daljem tekstu biće: „Ugovorne strane”.</w:t>
      </w:r>
    </w:p>
    <w:p w:rsidR="003A66C9" w:rsidRDefault="003A66C9" w:rsidP="003A66C9">
      <w:pPr>
        <w:rPr>
          <w:rFonts w:ascii="Tahoma" w:hAnsi="Tahoma" w:cs="Tahoma"/>
          <w:b/>
          <w:sz w:val="20"/>
          <w:szCs w:val="24"/>
        </w:rPr>
      </w:pPr>
      <w:r w:rsidRPr="00E523B1">
        <w:rPr>
          <w:rFonts w:ascii="Tahoma" w:hAnsi="Tahoma" w:cs="Tahoma"/>
          <w:sz w:val="20"/>
          <w:lang w:val="pl-PL"/>
        </w:rPr>
        <w:t>Ugovorne strane su se sporazumjele o sljedećem:</w:t>
      </w:r>
    </w:p>
    <w:p w:rsidR="003A66C9" w:rsidRDefault="003A66C9" w:rsidP="003A66C9">
      <w:pPr>
        <w:spacing w:before="120"/>
        <w:outlineLvl w:val="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PREDMET UGOVORA</w:t>
      </w:r>
    </w:p>
    <w:p w:rsidR="009106C5" w:rsidRPr="00A071E4" w:rsidRDefault="009106C5" w:rsidP="00DB590E">
      <w:pPr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1 </w:t>
      </w:r>
    </w:p>
    <w:p w:rsidR="003A66C9" w:rsidRDefault="003A66C9" w:rsidP="00DA6D11">
      <w:pPr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Predmet ovog Ugovora je regulisanje međusobnih prava i obaveza po osnovu otvaranja, vođenja i ukidanja računa Klijenta za izvršavanje platnih transakcija kod Banke (u daljem tekstu: Račun)</w:t>
      </w:r>
      <w:r>
        <w:rPr>
          <w:rFonts w:ascii="Tahoma" w:hAnsi="Tahoma" w:cs="Tahoma"/>
          <w:sz w:val="20"/>
          <w:lang w:val="sr-Latn-RS"/>
        </w:rPr>
        <w:t>.</w:t>
      </w:r>
    </w:p>
    <w:p w:rsidR="00BD2B0F" w:rsidRPr="00A071E4" w:rsidRDefault="003A66C9" w:rsidP="00DA6D11">
      <w:pPr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Banka otvara Klijentu slijedeći Račun</w:t>
      </w:r>
      <w:r>
        <w:rPr>
          <w:rFonts w:ascii="Tahoma" w:hAnsi="Tahoma" w:cs="Tahoma"/>
          <w:sz w:val="20"/>
          <w:lang w:val="sr-Latn-RS"/>
        </w:rPr>
        <w:t>:</w:t>
      </w:r>
      <w:r w:rsidR="00187E3B" w:rsidRPr="00A071E4">
        <w:rPr>
          <w:rFonts w:ascii="Tahoma" w:hAnsi="Tahoma" w:cs="Tahoma"/>
          <w:sz w:val="20"/>
          <w:szCs w:val="24"/>
        </w:rPr>
        <w:t xml:space="preserve">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6E4931" w:rsidRPr="00A071E4" w:rsidTr="000B3BAE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4931" w:rsidRPr="00A071E4" w:rsidRDefault="006E4931" w:rsidP="009A646B">
            <w:pPr>
              <w:spacing w:before="12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Vrsta računa</w:t>
            </w:r>
            <w:r w:rsidR="00715D54" w:rsidRPr="00A071E4">
              <w:rPr>
                <w:rFonts w:ascii="Tahoma" w:hAnsi="Tahoma" w:cs="Tahoma"/>
                <w:sz w:val="20"/>
                <w:szCs w:val="24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4931" w:rsidRPr="00A071E4" w:rsidRDefault="00062775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9"/>
          </w:p>
        </w:tc>
      </w:tr>
      <w:tr w:rsidR="006E4931" w:rsidRPr="00A071E4" w:rsidTr="00831B3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4931" w:rsidRPr="00A071E4" w:rsidRDefault="006E4931" w:rsidP="00DA6D11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E4931" w:rsidRPr="00A071E4" w:rsidRDefault="006E4931" w:rsidP="00715D54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0B3BAE">
              <w:rPr>
                <w:rFonts w:ascii="Tahoma" w:hAnsi="Tahoma" w:cs="Tahoma"/>
                <w:sz w:val="16"/>
                <w:szCs w:val="24"/>
              </w:rPr>
              <w:t>(za platni promet u zemlji, za platni promet sa inostranstvom, za VISA BUSINESS)</w:t>
            </w:r>
          </w:p>
        </w:tc>
      </w:tr>
      <w:tr w:rsidR="002F459B" w:rsidRPr="00A071E4" w:rsidTr="000B3BAE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F459B" w:rsidRPr="00A071E4" w:rsidRDefault="002F459B" w:rsidP="002F459B">
            <w:pPr>
              <w:spacing w:before="12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Naziv računa: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F459B" w:rsidRPr="00A071E4" w:rsidRDefault="00062775" w:rsidP="00397799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="00397799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10"/>
          </w:p>
        </w:tc>
      </w:tr>
      <w:tr w:rsidR="00715D54" w:rsidRPr="00A071E4" w:rsidTr="000B3BAE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15D54" w:rsidRPr="00A071E4" w:rsidRDefault="00715D54" w:rsidP="000B3BAE">
            <w:pPr>
              <w:spacing w:before="6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 xml:space="preserve">Broj računa </w:t>
            </w:r>
            <w:r w:rsidR="009A646B" w:rsidRPr="00A071E4">
              <w:rPr>
                <w:rFonts w:ascii="Tahoma" w:hAnsi="Tahoma" w:cs="Tahoma"/>
                <w:sz w:val="20"/>
                <w:szCs w:val="24"/>
              </w:rPr>
              <w:t>(</w:t>
            </w:r>
            <w:r w:rsidRPr="00A071E4">
              <w:rPr>
                <w:rFonts w:ascii="Tahoma" w:hAnsi="Tahoma" w:cs="Tahoma"/>
                <w:sz w:val="20"/>
                <w:szCs w:val="24"/>
              </w:rPr>
              <w:t>IBAN):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D54" w:rsidRPr="00A071E4" w:rsidRDefault="00062775" w:rsidP="00261113">
            <w:pPr>
              <w:spacing w:before="60"/>
              <w:rPr>
                <w:rFonts w:ascii="Tahoma" w:hAnsi="Tahoma" w:cs="Tahoma"/>
                <w:sz w:val="20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071E4">
              <w:rPr>
                <w:rFonts w:ascii="Tahoma" w:hAnsi="Tahoma" w:cs="Tahoma"/>
                <w:sz w:val="20"/>
                <w:szCs w:val="24"/>
              </w:rPr>
              <w:instrText xml:space="preserve"> FORMTEXT </w:instrText>
            </w:r>
            <w:r w:rsidRPr="00A071E4">
              <w:rPr>
                <w:rFonts w:ascii="Tahoma" w:hAnsi="Tahoma" w:cs="Tahoma"/>
                <w:sz w:val="20"/>
                <w:szCs w:val="24"/>
              </w:rPr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separate"/>
            </w:r>
            <w:r w:rsidR="00261113">
              <w:rPr>
                <w:rFonts w:ascii="Tahoma" w:hAnsi="Tahoma" w:cs="Tahoma"/>
                <w:sz w:val="20"/>
                <w:szCs w:val="24"/>
              </w:rPr>
              <w:t> </w:t>
            </w:r>
            <w:r w:rsidR="00261113">
              <w:rPr>
                <w:rFonts w:ascii="Tahoma" w:hAnsi="Tahoma" w:cs="Tahoma"/>
                <w:sz w:val="20"/>
                <w:szCs w:val="24"/>
              </w:rPr>
              <w:t> </w:t>
            </w:r>
            <w:r w:rsidR="00261113">
              <w:rPr>
                <w:rFonts w:ascii="Tahoma" w:hAnsi="Tahoma" w:cs="Tahoma"/>
                <w:sz w:val="20"/>
                <w:szCs w:val="24"/>
              </w:rPr>
              <w:t> </w:t>
            </w:r>
            <w:r w:rsidR="00261113">
              <w:rPr>
                <w:rFonts w:ascii="Tahoma" w:hAnsi="Tahoma" w:cs="Tahoma"/>
                <w:sz w:val="20"/>
                <w:szCs w:val="24"/>
              </w:rPr>
              <w:t> </w:t>
            </w:r>
            <w:r w:rsidR="00261113">
              <w:rPr>
                <w:rFonts w:ascii="Tahoma" w:hAnsi="Tahoma" w:cs="Tahoma"/>
                <w:sz w:val="20"/>
                <w:szCs w:val="24"/>
              </w:rPr>
              <w:t> </w:t>
            </w:r>
            <w:r w:rsidRPr="00A071E4">
              <w:rPr>
                <w:rFonts w:ascii="Tahoma" w:hAnsi="Tahoma" w:cs="Tahoma"/>
                <w:sz w:val="20"/>
                <w:szCs w:val="24"/>
              </w:rPr>
              <w:fldChar w:fldCharType="end"/>
            </w:r>
            <w:bookmarkEnd w:id="11"/>
          </w:p>
        </w:tc>
      </w:tr>
    </w:tbl>
    <w:p w:rsidR="00433A66" w:rsidRPr="00A071E4" w:rsidRDefault="008C7DD2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4F0CC0" w:rsidRPr="00A071E4">
        <w:rPr>
          <w:rFonts w:ascii="Tahoma" w:hAnsi="Tahoma" w:cs="Tahoma"/>
          <w:b/>
          <w:sz w:val="20"/>
          <w:szCs w:val="24"/>
        </w:rPr>
        <w:t>2</w:t>
      </w:r>
      <w:r w:rsidR="00E57BAC" w:rsidRPr="00A071E4">
        <w:rPr>
          <w:rFonts w:ascii="Tahoma" w:hAnsi="Tahoma" w:cs="Tahoma"/>
          <w:b/>
          <w:sz w:val="20"/>
          <w:szCs w:val="24"/>
        </w:rPr>
        <w:t xml:space="preserve"> </w:t>
      </w:r>
    </w:p>
    <w:p w:rsidR="003A66C9" w:rsidRPr="00E523B1" w:rsidRDefault="003A66C9" w:rsidP="000B3BAE">
      <w:pPr>
        <w:spacing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Na osnovu ovog Ugovora i Zahtjeva za otvaranje transakcionog računa koji čini sastavni dio ovog Ugovora, Banka Klijentu otvara Račun na način i pod uslovima koji su utvrđeni ovim Ugovorom koji je sastavni dio Okvirnog ugovora o platnim uslugama (u daljem tekstu: Okvirni ugovor), i aktima Banke kojima je uređeno poslovanje sa računima pravnih lica i preduzetnika.</w:t>
      </w:r>
    </w:p>
    <w:p w:rsidR="003A66C9" w:rsidRPr="00E523B1" w:rsidRDefault="003A66C9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Potpisom ovog Ugovora Klijent i Banka sklapaju Okvirni ugovor koji čine: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Opšti uslovi poslovanja za transakcione račune pravnih lica i preduzetnika Ziraat Bank Montenegro AD (u daljem tekstu: Opšti uslovi);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Pripadajući Posebni i opšti uslovi za dodatnu uslugu koju ugovaraju Banka i Klijent, ukoliko se pored ovog Ugovora ugovara i dodatna usluga po Računu;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Terminski plan izvršenja platnih transakcija Banke;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Tarife naknada Banke;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Kursna lista Banke;</w:t>
      </w:r>
    </w:p>
    <w:p w:rsidR="003A66C9" w:rsidRPr="00E523B1" w:rsidRDefault="003A66C9" w:rsidP="000B3BAE">
      <w:pPr>
        <w:pStyle w:val="ListParagraph"/>
        <w:numPr>
          <w:ilvl w:val="0"/>
          <w:numId w:val="7"/>
        </w:numPr>
        <w:spacing w:line="220" w:lineRule="exact"/>
        <w:jc w:val="both"/>
        <w:textAlignment w:val="auto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Ovaj Ugovor.</w:t>
      </w:r>
    </w:p>
    <w:p w:rsidR="003A66C9" w:rsidRPr="00E523B1" w:rsidRDefault="003A66C9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 xml:space="preserve">Svojim potpisom na ovom Ugovoru Klijent potvrđuje da je prethodno, prije sklapanja Okvirnog  ugovora, upoznat s dokumentacijom koja čini Okvirni ugovor i drugim Aktima Banke, te da je iste pročitao, razumio kao i da se s njima u cjelosti slaže i prihvata ih. </w:t>
      </w:r>
    </w:p>
    <w:p w:rsidR="00096200" w:rsidRDefault="003A66C9" w:rsidP="000B3BAE">
      <w:pPr>
        <w:spacing w:before="60" w:line="220" w:lineRule="exact"/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Definicije svih pojmova koji se koriste u ovom Ugovoru, date su u Opštim uslovima poslovanja.</w:t>
      </w:r>
    </w:p>
    <w:p w:rsidR="003A66C9" w:rsidRPr="003A66C9" w:rsidRDefault="003A66C9" w:rsidP="000B3BAE">
      <w:pPr>
        <w:spacing w:before="120" w:line="220" w:lineRule="exact"/>
        <w:rPr>
          <w:rFonts w:ascii="Tahoma" w:hAnsi="Tahoma" w:cs="Tahoma"/>
          <w:b/>
          <w:sz w:val="20"/>
          <w:szCs w:val="24"/>
        </w:rPr>
      </w:pPr>
      <w:r w:rsidRPr="003A66C9">
        <w:rPr>
          <w:rFonts w:ascii="Tahoma" w:hAnsi="Tahoma" w:cs="Tahoma"/>
          <w:b/>
          <w:sz w:val="20"/>
          <w:szCs w:val="24"/>
        </w:rPr>
        <w:t>PRAVA I OBAVEZE UGOVORNIH STRANA</w:t>
      </w:r>
    </w:p>
    <w:p w:rsidR="00096200" w:rsidRPr="00A071E4" w:rsidRDefault="00096200" w:rsidP="000B3BAE">
      <w:pPr>
        <w:spacing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9729B" w:rsidRPr="00A071E4">
        <w:rPr>
          <w:rFonts w:ascii="Tahoma" w:hAnsi="Tahoma" w:cs="Tahoma"/>
          <w:b/>
          <w:sz w:val="20"/>
          <w:szCs w:val="24"/>
        </w:rPr>
        <w:t>3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 xml:space="preserve">Klijent je dužan da prilikom dostavljanja Zahtjeva za otvaranje transakcionog računa,  Banci dostavi svu dokumentaciju koja je precizirana u Opštim uslovima, kako bi bili ispunjeni uslovi za otvaranje računa. 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Banka je obavezna da u smislu relevantnih odredaba Zakona o bankama i Krivičnog zakonika Crne Gore, poštuje princip tajnosti računa kao i svih podataka o Klijentu, podatke o računu i transakcijama,  kao i ostale podatke o Klijentu do kojih je Banka došla prilikom uspostavljanja poslovnog odnosa sa Klijentom.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lastRenderedPageBreak/>
        <w:t xml:space="preserve">Podatke iz stava 4 ovog člana Banka može dostavljati samo Klijentu, odnosno ovlašćenim licima Klijenta, drugim licima po njegovom neposrednom pisanom ovlašćenju/nalogu, po nalogu suda, tužilaštva ili drugog nadležnog organa, ako je to Zakonom propisano. 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Ugovorne strane saglasno utvrđuju da su u ovom Ugovoru i drugim pripadajućim dokumentima uz isti, uz svojevoljni i izričit pristanak ovlašćenih lica Klijenta, upisani i navedeni njihovi matični brojevi i drugi lični podaci koje Banka može obrađivati, i iznositi radi izvršavanja ugovornih i zakonskih obaveza, kao i da su ovlašćena lica Klijenta upoznata sa mogućim posljedicama ovih radnji.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color w:val="000000"/>
          <w:sz w:val="20"/>
          <w:lang w:val="sr-Latn-RS"/>
        </w:rPr>
        <w:t xml:space="preserve">Potpisivanjem ovog Ugovora Klijent se neopozivo i bezuslovno saglašava da se njegovi lični podaci kao i podaci koji predstavljaju bankarsku tajnu odnosno poslovnu tajnu, a do kojih Banka dodje u posjed prilikom uspostavljanja i realizacije poslovnog odnosa sa Klijentom, mogu koristiti za potrebe konsultovanja, procesuiranja, prenošenja ili bilo kakve druge upotrebe od strane relevantnih sektora u Banci, kao i od strane </w:t>
      </w:r>
      <w:r w:rsidRPr="00E523B1">
        <w:rPr>
          <w:rFonts w:ascii="Tahoma" w:hAnsi="Tahoma" w:cs="Tahoma"/>
          <w:color w:val="000000"/>
          <w:sz w:val="20"/>
          <w:lang w:val="en-GB"/>
        </w:rPr>
        <w:t>T.C. Ziraat Bankasi A.S</w:t>
      </w:r>
      <w:r w:rsidRPr="00E523B1">
        <w:rPr>
          <w:rFonts w:ascii="Tahoma" w:hAnsi="Tahoma" w:cs="Tahoma"/>
          <w:color w:val="000000"/>
          <w:sz w:val="20"/>
          <w:lang w:val="sr-Latn-RS"/>
        </w:rPr>
        <w:t>, njenih ostalih članica, ili bilo kog njihovog podugovarača.</w:t>
      </w:r>
    </w:p>
    <w:p w:rsidR="00D936A9" w:rsidRPr="00A071E4" w:rsidRDefault="00D936A9" w:rsidP="000B3BAE">
      <w:pPr>
        <w:keepNext/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9729B" w:rsidRPr="00A071E4">
        <w:rPr>
          <w:rFonts w:ascii="Tahoma" w:hAnsi="Tahoma" w:cs="Tahoma"/>
          <w:b/>
          <w:sz w:val="20"/>
          <w:szCs w:val="24"/>
        </w:rPr>
        <w:t>4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 xml:space="preserve">Za obavljanje platnih usluga iz ovog Ugovora, Klijent je dužan ispostaviti Banci ispravan nalog za plaćanje, saglasno Opštim uslovima. 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Klijent je obavezan da Banci dostavlja samo uredne naloge za obavljanje transakcija koji su potpisani i pečatirani od strane ovlašćenih lica i koje je Banci neposredno dostavilo za realizaciju lice koje je od strane Klijenta prethodno ovlašćeno da vrši dostavu naloga za obavljanje transakcija, ovlašćenjem koje je dato u pisanoj formi, uz potpis i pečat ovlašćenog lica Klijenta.</w:t>
      </w:r>
    </w:p>
    <w:p w:rsidR="00185825" w:rsidRPr="00A071E4" w:rsidRDefault="00DB590E" w:rsidP="000B3BAE">
      <w:pPr>
        <w:spacing w:before="60" w:line="220" w:lineRule="exact"/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Banka neće postupati po nalozima za obavljanje transakcija koji nijesu potpisani i dostavljeni u smislu odredbe stava 2 ovog člana i Opštih uslova poslovanja.</w:t>
      </w:r>
      <w:r w:rsidR="00185825" w:rsidRPr="00A071E4">
        <w:rPr>
          <w:rFonts w:ascii="Tahoma" w:hAnsi="Tahoma" w:cs="Tahoma"/>
          <w:sz w:val="20"/>
          <w:szCs w:val="24"/>
        </w:rPr>
        <w:t xml:space="preserve"> </w:t>
      </w:r>
    </w:p>
    <w:p w:rsidR="00D57149" w:rsidRPr="00A071E4" w:rsidRDefault="00D57149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5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Za obavljanje poslova iz ovog Ugovora Klijent se obavezuje da će Banci plaćati naknadu u visini utvrđenoj Tarifama Banke.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 xml:space="preserve">Potpisom ovog Ugovora Klijent izričito ovlašćuje Banku da naknade iz prethodnog stava ovog člana naplaćuje direktno s Računa, a u slučaju da na Računu nema dovoljno sredstava da se naplati iz sredstava sa svih računa otvorenih kod Banke, ukoliko sredstva na istima nisu izuzeta od naplate. </w:t>
      </w:r>
    </w:p>
    <w:p w:rsidR="00E01EA5" w:rsidRPr="00A071E4" w:rsidRDefault="00DB590E" w:rsidP="009746D3">
      <w:pPr>
        <w:spacing w:before="60" w:line="220" w:lineRule="exact"/>
        <w:jc w:val="both"/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Klijent ovlašćuje Banku da naloge za naplatu nenaplaćenog iznosa naknade podnosi i kod drugih banaka i drugih pružaoca platnih usluga koji za Klijenta obavljaju poslove platnog prometa te ih na osnovu ovog Ugovora ovlašćuje da postupe po takvom nalogu, odnosno u slučaju nedostatka sredstava, da naloge evidentiraju i po prilivu sredstava iste izvrše, ukoliko sredstva na računima nisu izuzeta od naplate.</w:t>
      </w:r>
    </w:p>
    <w:p w:rsidR="00BC165B" w:rsidRPr="00A071E4" w:rsidRDefault="00BC165B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6</w:t>
      </w:r>
    </w:p>
    <w:p w:rsidR="00BC165B" w:rsidRPr="00A071E4" w:rsidRDefault="00DB590E" w:rsidP="000B3BAE">
      <w:pPr>
        <w:spacing w:before="60" w:line="220" w:lineRule="exact"/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O promjenama stanja na Računu Banka će obavještavati Klijenta na ugovoreni način, saglasno Zahtjevu za otvaranje Računa i Opštim uslovima.</w:t>
      </w:r>
    </w:p>
    <w:p w:rsidR="00CF7123" w:rsidRPr="00A071E4" w:rsidRDefault="00CF7123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7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Banka je članica Fonda za zaštitu depozita i depoziti deponenata banke su zaštićeni u skladu sa Zakonom o zaštiti depozita.</w:t>
      </w:r>
    </w:p>
    <w:p w:rsidR="00614A06" w:rsidRPr="00A071E4" w:rsidRDefault="00614A06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8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Ovaj Ugovor se zaključuje na neodređeno vrijeme s mogućnošću otkaza bilo koje ugovorne strane.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Klijent se obavezuje prije podnošenja Zahtjeva za zatvaranje računa podmiriti sve svoje obveze prema Banci, po svim osnovama.</w:t>
      </w:r>
    </w:p>
    <w:p w:rsidR="00BC165B" w:rsidRPr="00A071E4" w:rsidRDefault="00DB590E" w:rsidP="000B3BAE">
      <w:pPr>
        <w:spacing w:before="60" w:line="220" w:lineRule="exact"/>
        <w:rPr>
          <w:rFonts w:ascii="Tahoma" w:hAnsi="Tahoma" w:cs="Tahoma"/>
          <w:sz w:val="20"/>
          <w:szCs w:val="24"/>
        </w:rPr>
      </w:pPr>
      <w:r w:rsidRPr="00E523B1">
        <w:rPr>
          <w:rFonts w:ascii="Tahoma" w:hAnsi="Tahoma" w:cs="Tahoma"/>
          <w:sz w:val="20"/>
          <w:lang w:val="sr-Latn-RS"/>
        </w:rPr>
        <w:t>Za sve što nije regulisano ovim Ugovorom primjenjivaće se odredbe preostale dokumentacije koja čini Okvirni ugovor, drugi Akti Banke i odredbe Zakona o platnom prometu i Zakona o obligacionim odnosima.</w:t>
      </w:r>
    </w:p>
    <w:p w:rsidR="00614A06" w:rsidRPr="00A071E4" w:rsidRDefault="00614A06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9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Eventualna šteta koju ugovorne strane pričine jedna drugoj u izvršavanju ovog Ugovora, rješavaće se saglasno odredbama Zakona o platnom prometu i Zakona o obligacionim odnosima.</w:t>
      </w:r>
    </w:p>
    <w:p w:rsidR="00DB590E" w:rsidRPr="00E523B1" w:rsidRDefault="00DB590E" w:rsidP="000B3BAE">
      <w:pPr>
        <w:spacing w:before="60" w:line="220" w:lineRule="exact"/>
        <w:jc w:val="both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Ugovorne strane saglasne su da će sve eventualne sporove koji proisteknu iz ovog ugovornog odnosa nastojati da riješe sporazumno, a ukoliko to nije moguće ugovara se mjesna nadležnost stvarno nadležnog suda prema sjedištu Banke.</w:t>
      </w:r>
    </w:p>
    <w:p w:rsidR="00EA1265" w:rsidRPr="00A071E4" w:rsidRDefault="00EA1265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071D97">
        <w:rPr>
          <w:rFonts w:ascii="Tahoma" w:hAnsi="Tahoma" w:cs="Tahoma"/>
          <w:b/>
          <w:sz w:val="20"/>
          <w:szCs w:val="24"/>
        </w:rPr>
        <w:t>10</w:t>
      </w:r>
    </w:p>
    <w:p w:rsidR="009746D3" w:rsidRPr="00E523B1" w:rsidRDefault="00DB590E" w:rsidP="000B3BAE">
      <w:pPr>
        <w:spacing w:line="220" w:lineRule="exact"/>
        <w:rPr>
          <w:rFonts w:ascii="Tahoma" w:hAnsi="Tahoma" w:cs="Tahoma"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Ovaj ugovor proizvodi pravno dejstvo danom potpisivanja.</w:t>
      </w:r>
    </w:p>
    <w:p w:rsidR="00F57598" w:rsidRPr="00A071E4" w:rsidRDefault="00F57598" w:rsidP="000B3BAE">
      <w:pPr>
        <w:spacing w:before="120" w:line="220" w:lineRule="exact"/>
        <w:jc w:val="center"/>
        <w:outlineLvl w:val="0"/>
        <w:rPr>
          <w:rFonts w:ascii="Tahoma" w:hAnsi="Tahoma" w:cs="Tahoma"/>
          <w:b/>
          <w:sz w:val="20"/>
          <w:szCs w:val="24"/>
        </w:rPr>
      </w:pPr>
      <w:r w:rsidRPr="00A071E4">
        <w:rPr>
          <w:rFonts w:ascii="Tahoma" w:hAnsi="Tahoma" w:cs="Tahoma"/>
          <w:b/>
          <w:sz w:val="20"/>
          <w:szCs w:val="24"/>
        </w:rPr>
        <w:t xml:space="preserve">Član </w:t>
      </w:r>
      <w:r w:rsidR="00CF7123" w:rsidRPr="00A071E4">
        <w:rPr>
          <w:rFonts w:ascii="Tahoma" w:hAnsi="Tahoma" w:cs="Tahoma"/>
          <w:b/>
          <w:sz w:val="20"/>
          <w:szCs w:val="24"/>
        </w:rPr>
        <w:t>1</w:t>
      </w:r>
      <w:r w:rsidR="00071D97">
        <w:rPr>
          <w:rFonts w:ascii="Tahoma" w:hAnsi="Tahoma" w:cs="Tahoma"/>
          <w:b/>
          <w:sz w:val="20"/>
          <w:szCs w:val="24"/>
        </w:rPr>
        <w:t>1</w:t>
      </w:r>
    </w:p>
    <w:p w:rsidR="00DB590E" w:rsidRDefault="00DB590E" w:rsidP="000B3BAE">
      <w:pPr>
        <w:spacing w:line="220" w:lineRule="exact"/>
        <w:rPr>
          <w:rFonts w:ascii="Tahoma" w:hAnsi="Tahoma" w:cs="Tahoma"/>
          <w:b/>
          <w:sz w:val="20"/>
          <w:lang w:val="sr-Latn-RS"/>
        </w:rPr>
      </w:pPr>
      <w:r w:rsidRPr="00E523B1">
        <w:rPr>
          <w:rFonts w:ascii="Tahoma" w:hAnsi="Tahoma" w:cs="Tahoma"/>
          <w:sz w:val="20"/>
          <w:lang w:val="sr-Latn-RS"/>
        </w:rPr>
        <w:t>Ovaj ugovor je sačinjen u 2 (dva) istovjetna primjerka, po jedan za svaku ugovorenu stranu.</w:t>
      </w:r>
      <w:r w:rsidRPr="00E523B1">
        <w:rPr>
          <w:rFonts w:ascii="Tahoma" w:hAnsi="Tahoma" w:cs="Tahoma"/>
          <w:b/>
          <w:sz w:val="20"/>
          <w:lang w:val="sr-Latn-RS"/>
        </w:rPr>
        <w:t xml:space="preserve"> </w:t>
      </w:r>
    </w:p>
    <w:p w:rsidR="00F57598" w:rsidRPr="00A071E4" w:rsidRDefault="00F57598" w:rsidP="009A646B">
      <w:pPr>
        <w:rPr>
          <w:rFonts w:ascii="Tahoma" w:hAnsi="Tahoma" w:cs="Tahoma"/>
          <w:b/>
          <w:sz w:val="20"/>
          <w:szCs w:val="24"/>
        </w:rPr>
      </w:pPr>
    </w:p>
    <w:tbl>
      <w:tblPr>
        <w:tblW w:w="1013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FA1A54" w:rsidRPr="00A071E4" w:rsidTr="003F2618">
        <w:trPr>
          <w:trHeight w:val="468"/>
        </w:trPr>
        <w:tc>
          <w:tcPr>
            <w:tcW w:w="3379" w:type="dxa"/>
          </w:tcPr>
          <w:p w:rsidR="00FA1A54" w:rsidRPr="00A071E4" w:rsidRDefault="00FA1A54" w:rsidP="00031566">
            <w:pPr>
              <w:spacing w:before="120"/>
              <w:jc w:val="center"/>
              <w:rPr>
                <w:rFonts w:ascii="Tahoma" w:hAnsi="Tahoma" w:cs="Tahoma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K L I J E N T:</w:t>
            </w:r>
          </w:p>
          <w:p w:rsidR="007B2C91" w:rsidRPr="00A071E4" w:rsidRDefault="007B2C91" w:rsidP="00DA6D11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FA1A54" w:rsidRPr="00A071E4" w:rsidRDefault="00FA1A54" w:rsidP="00DA6D11">
            <w:pPr>
              <w:tabs>
                <w:tab w:val="left" w:pos="360"/>
              </w:tabs>
              <w:rPr>
                <w:rFonts w:ascii="Tahoma" w:hAnsi="Tahoma" w:cs="Tahoma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 xml:space="preserve">   ___________________________</w:t>
            </w:r>
          </w:p>
        </w:tc>
        <w:tc>
          <w:tcPr>
            <w:tcW w:w="3379" w:type="dxa"/>
          </w:tcPr>
          <w:p w:rsidR="00FA1A54" w:rsidRPr="00A071E4" w:rsidRDefault="00FA1A54" w:rsidP="00DA6D1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3379" w:type="dxa"/>
          </w:tcPr>
          <w:p w:rsidR="00FA1A54" w:rsidRPr="00A071E4" w:rsidRDefault="00031566" w:rsidP="00031566">
            <w:pPr>
              <w:tabs>
                <w:tab w:val="left" w:pos="1027"/>
              </w:tabs>
              <w:spacing w:before="120"/>
              <w:rPr>
                <w:rFonts w:ascii="Tahoma" w:hAnsi="Tahoma" w:cs="Tahoma"/>
                <w:szCs w:val="24"/>
              </w:rPr>
            </w:pPr>
            <w:r w:rsidRPr="00A071E4">
              <w:rPr>
                <w:rFonts w:ascii="Tahoma" w:hAnsi="Tahoma" w:cs="Tahoma"/>
                <w:sz w:val="22"/>
                <w:szCs w:val="24"/>
              </w:rPr>
              <w:tab/>
            </w:r>
            <w:r w:rsidR="00FA1A54" w:rsidRPr="00A071E4">
              <w:rPr>
                <w:rFonts w:ascii="Tahoma" w:hAnsi="Tahoma" w:cs="Tahoma"/>
                <w:sz w:val="20"/>
                <w:szCs w:val="24"/>
              </w:rPr>
              <w:t>B A N K A:</w:t>
            </w:r>
          </w:p>
          <w:p w:rsidR="007B2C91" w:rsidRPr="00A071E4" w:rsidRDefault="007B2C91" w:rsidP="00DA6D11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FA1A54" w:rsidRPr="00A071E4" w:rsidRDefault="00FA1A54" w:rsidP="00DA6D11">
            <w:pPr>
              <w:rPr>
                <w:rFonts w:ascii="Tahoma" w:hAnsi="Tahoma" w:cs="Tahoma"/>
                <w:szCs w:val="24"/>
              </w:rPr>
            </w:pPr>
            <w:r w:rsidRPr="00A071E4">
              <w:rPr>
                <w:rFonts w:ascii="Tahoma" w:hAnsi="Tahoma" w:cs="Tahoma"/>
                <w:sz w:val="20"/>
                <w:szCs w:val="24"/>
              </w:rPr>
              <w:t>______________</w:t>
            </w:r>
            <w:r w:rsidR="007B2C91" w:rsidRPr="00A071E4">
              <w:rPr>
                <w:rFonts w:ascii="Tahoma" w:hAnsi="Tahoma" w:cs="Tahoma"/>
                <w:sz w:val="20"/>
                <w:szCs w:val="24"/>
              </w:rPr>
              <w:t>_</w:t>
            </w:r>
            <w:r w:rsidRPr="00A071E4">
              <w:rPr>
                <w:rFonts w:ascii="Tahoma" w:hAnsi="Tahoma" w:cs="Tahoma"/>
                <w:sz w:val="20"/>
                <w:szCs w:val="24"/>
              </w:rPr>
              <w:t>_____________</w:t>
            </w:r>
          </w:p>
        </w:tc>
      </w:tr>
    </w:tbl>
    <w:p w:rsidR="004212E2" w:rsidRPr="00A071E4" w:rsidRDefault="004212E2" w:rsidP="009746D3">
      <w:pPr>
        <w:rPr>
          <w:rFonts w:ascii="Tahoma" w:hAnsi="Tahoma" w:cs="Tahoma"/>
          <w:b/>
          <w:sz w:val="20"/>
          <w:szCs w:val="24"/>
        </w:rPr>
      </w:pPr>
    </w:p>
    <w:sectPr w:rsidR="004212E2" w:rsidRPr="00A071E4" w:rsidSect="009746D3">
      <w:headerReference w:type="default" r:id="rId10"/>
      <w:type w:val="continuous"/>
      <w:pgSz w:w="11907" w:h="16839" w:code="9"/>
      <w:pgMar w:top="510" w:right="1134" w:bottom="284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1C" w:rsidRDefault="0008161C" w:rsidP="00055706">
      <w:r>
        <w:separator/>
      </w:r>
    </w:p>
  </w:endnote>
  <w:endnote w:type="continuationSeparator" w:id="0">
    <w:p w:rsidR="0008161C" w:rsidRDefault="0008161C" w:rsidP="000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8732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46B" w:rsidRPr="00137519" w:rsidRDefault="00BC758A">
        <w:pPr>
          <w:pStyle w:val="Footer"/>
          <w:jc w:val="right"/>
          <w:rPr>
            <w:rFonts w:asciiTheme="minorHAnsi" w:hAnsiTheme="minorHAnsi"/>
          </w:rPr>
        </w:pPr>
        <w:r w:rsidRPr="00137519">
          <w:rPr>
            <w:rFonts w:asciiTheme="minorHAnsi" w:hAnsiTheme="minorHAnsi"/>
            <w:sz w:val="22"/>
          </w:rPr>
          <w:fldChar w:fldCharType="begin"/>
        </w:r>
        <w:r w:rsidR="009A646B" w:rsidRPr="00137519">
          <w:rPr>
            <w:rFonts w:asciiTheme="minorHAnsi" w:hAnsiTheme="minorHAnsi"/>
            <w:sz w:val="22"/>
          </w:rPr>
          <w:instrText xml:space="preserve"> PAGE   \* MERGEFORMAT </w:instrText>
        </w:r>
        <w:r w:rsidRPr="00137519">
          <w:rPr>
            <w:rFonts w:asciiTheme="minorHAnsi" w:hAnsiTheme="minorHAnsi"/>
            <w:sz w:val="22"/>
          </w:rPr>
          <w:fldChar w:fldCharType="separate"/>
        </w:r>
        <w:r w:rsidR="009746D3">
          <w:rPr>
            <w:rFonts w:asciiTheme="minorHAnsi" w:hAnsiTheme="minorHAnsi"/>
            <w:noProof/>
            <w:sz w:val="22"/>
          </w:rPr>
          <w:t>1</w:t>
        </w:r>
        <w:r w:rsidRPr="00137519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:rsidR="009A646B" w:rsidRDefault="009A6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1C" w:rsidRDefault="0008161C" w:rsidP="00055706">
      <w:r>
        <w:separator/>
      </w:r>
    </w:p>
  </w:footnote>
  <w:footnote w:type="continuationSeparator" w:id="0">
    <w:p w:rsidR="0008161C" w:rsidRDefault="0008161C" w:rsidP="0005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19" w:rsidRDefault="00137519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62336" behindDoc="0" locked="0" layoutInCell="1" allowOverlap="1" wp14:anchorId="2D4F94A0" wp14:editId="61057845">
          <wp:simplePos x="0" y="0"/>
          <wp:positionH relativeFrom="column">
            <wp:posOffset>-201295</wp:posOffset>
          </wp:positionH>
          <wp:positionV relativeFrom="paragraph">
            <wp:posOffset>-193040</wp:posOffset>
          </wp:positionV>
          <wp:extent cx="1616075" cy="6292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DE" w:rsidRDefault="00102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F9B"/>
    <w:multiLevelType w:val="hybridMultilevel"/>
    <w:tmpl w:val="5354445E"/>
    <w:lvl w:ilvl="0" w:tplc="A9906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67ACE"/>
    <w:multiLevelType w:val="hybridMultilevel"/>
    <w:tmpl w:val="61EACABC"/>
    <w:lvl w:ilvl="0" w:tplc="CEC04278">
      <w:start w:val="1"/>
      <w:numFmt w:val="bullet"/>
      <w:lvlText w:val="-"/>
      <w:lvlJc w:val="left"/>
      <w:pPr>
        <w:ind w:left="72" w:hanging="360"/>
      </w:pPr>
      <w:rPr>
        <w:rFonts w:ascii="MS Reference Sans Serif" w:eastAsia="Times New Roman" w:hAnsi="MS Reference Sans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 w15:restartNumberingAfterBreak="0">
    <w:nsid w:val="5FAF1797"/>
    <w:multiLevelType w:val="hybridMultilevel"/>
    <w:tmpl w:val="49E67A34"/>
    <w:lvl w:ilvl="0" w:tplc="B02063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B7799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9C5E5B"/>
    <w:multiLevelType w:val="hybridMultilevel"/>
    <w:tmpl w:val="272640CC"/>
    <w:lvl w:ilvl="0" w:tplc="ECE251B4">
      <w:start w:val="31"/>
      <w:numFmt w:val="bullet"/>
      <w:lvlText w:val="–"/>
      <w:lvlJc w:val="left"/>
      <w:pPr>
        <w:ind w:left="1152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0D01B5A"/>
    <w:multiLevelType w:val="singleLevel"/>
    <w:tmpl w:val="E3920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7FD5591B"/>
    <w:multiLevelType w:val="hybridMultilevel"/>
    <w:tmpl w:val="CF50A588"/>
    <w:lvl w:ilvl="0" w:tplc="C4DEEA3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/dvJ2kfJR4LzKKerC1MIiJGncQ2dJ74Jx8j4cz8xo35jYyWGkL65roEOS7C0JoxmSPkSosq1mqjw2uzTZN1m2w==" w:salt="/aoUs5hvppv8HcXOQQyvs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66"/>
    <w:rsid w:val="0000278B"/>
    <w:rsid w:val="00005C52"/>
    <w:rsid w:val="0000600A"/>
    <w:rsid w:val="0001204B"/>
    <w:rsid w:val="00013551"/>
    <w:rsid w:val="0001639D"/>
    <w:rsid w:val="00024961"/>
    <w:rsid w:val="00031566"/>
    <w:rsid w:val="00037735"/>
    <w:rsid w:val="00037838"/>
    <w:rsid w:val="00040371"/>
    <w:rsid w:val="00041741"/>
    <w:rsid w:val="00043880"/>
    <w:rsid w:val="000509C6"/>
    <w:rsid w:val="000532BD"/>
    <w:rsid w:val="00055706"/>
    <w:rsid w:val="00060FEE"/>
    <w:rsid w:val="00062775"/>
    <w:rsid w:val="00065E0B"/>
    <w:rsid w:val="00071D97"/>
    <w:rsid w:val="00076131"/>
    <w:rsid w:val="00077380"/>
    <w:rsid w:val="0008161C"/>
    <w:rsid w:val="00084C0F"/>
    <w:rsid w:val="0008512F"/>
    <w:rsid w:val="00096200"/>
    <w:rsid w:val="0009729B"/>
    <w:rsid w:val="00097705"/>
    <w:rsid w:val="000A2448"/>
    <w:rsid w:val="000A7FC9"/>
    <w:rsid w:val="000B09D7"/>
    <w:rsid w:val="000B11CD"/>
    <w:rsid w:val="000B3BAE"/>
    <w:rsid w:val="000D058D"/>
    <w:rsid w:val="000D17D0"/>
    <w:rsid w:val="000D5E81"/>
    <w:rsid w:val="000E3F99"/>
    <w:rsid w:val="000F2349"/>
    <w:rsid w:val="00102CDE"/>
    <w:rsid w:val="00127C4A"/>
    <w:rsid w:val="00134BEE"/>
    <w:rsid w:val="00137519"/>
    <w:rsid w:val="00157FE8"/>
    <w:rsid w:val="00170A46"/>
    <w:rsid w:val="0018500E"/>
    <w:rsid w:val="00185825"/>
    <w:rsid w:val="00187E3B"/>
    <w:rsid w:val="0019650D"/>
    <w:rsid w:val="001A31B3"/>
    <w:rsid w:val="001B1D9E"/>
    <w:rsid w:val="001B38A3"/>
    <w:rsid w:val="001C6B32"/>
    <w:rsid w:val="001D77F4"/>
    <w:rsid w:val="001E0332"/>
    <w:rsid w:val="001E1F1F"/>
    <w:rsid w:val="001E219D"/>
    <w:rsid w:val="001F26CD"/>
    <w:rsid w:val="0020064D"/>
    <w:rsid w:val="002133E1"/>
    <w:rsid w:val="00215A70"/>
    <w:rsid w:val="00230C74"/>
    <w:rsid w:val="00232AC8"/>
    <w:rsid w:val="002600F9"/>
    <w:rsid w:val="00261113"/>
    <w:rsid w:val="0026605E"/>
    <w:rsid w:val="00281BCF"/>
    <w:rsid w:val="002840FD"/>
    <w:rsid w:val="00287DBE"/>
    <w:rsid w:val="00294712"/>
    <w:rsid w:val="00295285"/>
    <w:rsid w:val="00295F3E"/>
    <w:rsid w:val="002C4143"/>
    <w:rsid w:val="002C63B5"/>
    <w:rsid w:val="002E3FA6"/>
    <w:rsid w:val="002E617D"/>
    <w:rsid w:val="002F0A52"/>
    <w:rsid w:val="002F1B42"/>
    <w:rsid w:val="002F459B"/>
    <w:rsid w:val="00304204"/>
    <w:rsid w:val="00331E34"/>
    <w:rsid w:val="00332E42"/>
    <w:rsid w:val="00337D51"/>
    <w:rsid w:val="00352464"/>
    <w:rsid w:val="00356764"/>
    <w:rsid w:val="0036104A"/>
    <w:rsid w:val="00364553"/>
    <w:rsid w:val="003765CA"/>
    <w:rsid w:val="00376E35"/>
    <w:rsid w:val="0038620E"/>
    <w:rsid w:val="00386D26"/>
    <w:rsid w:val="00386D6F"/>
    <w:rsid w:val="00397799"/>
    <w:rsid w:val="003A350A"/>
    <w:rsid w:val="003A4178"/>
    <w:rsid w:val="003A66C9"/>
    <w:rsid w:val="003C31EB"/>
    <w:rsid w:val="003C42B8"/>
    <w:rsid w:val="003D03C0"/>
    <w:rsid w:val="003F1FED"/>
    <w:rsid w:val="003F760C"/>
    <w:rsid w:val="00400005"/>
    <w:rsid w:val="00400B56"/>
    <w:rsid w:val="004025E7"/>
    <w:rsid w:val="00412E99"/>
    <w:rsid w:val="004212E2"/>
    <w:rsid w:val="00425DD9"/>
    <w:rsid w:val="00427297"/>
    <w:rsid w:val="004307DB"/>
    <w:rsid w:val="00433A66"/>
    <w:rsid w:val="00435A22"/>
    <w:rsid w:val="00436F8D"/>
    <w:rsid w:val="00437C1B"/>
    <w:rsid w:val="0044239A"/>
    <w:rsid w:val="00445D94"/>
    <w:rsid w:val="004601FC"/>
    <w:rsid w:val="0046496E"/>
    <w:rsid w:val="0048250A"/>
    <w:rsid w:val="0048597D"/>
    <w:rsid w:val="00495C88"/>
    <w:rsid w:val="004C07D4"/>
    <w:rsid w:val="004C359F"/>
    <w:rsid w:val="004C4446"/>
    <w:rsid w:val="004C6DE2"/>
    <w:rsid w:val="004D065F"/>
    <w:rsid w:val="004D1861"/>
    <w:rsid w:val="004E1716"/>
    <w:rsid w:val="004F0CC0"/>
    <w:rsid w:val="004F139C"/>
    <w:rsid w:val="00501EB9"/>
    <w:rsid w:val="00511D3C"/>
    <w:rsid w:val="00527388"/>
    <w:rsid w:val="00533624"/>
    <w:rsid w:val="00553E54"/>
    <w:rsid w:val="005724A7"/>
    <w:rsid w:val="00580BA9"/>
    <w:rsid w:val="005859FF"/>
    <w:rsid w:val="00586277"/>
    <w:rsid w:val="005928A5"/>
    <w:rsid w:val="005A1CF2"/>
    <w:rsid w:val="005A2382"/>
    <w:rsid w:val="005A457A"/>
    <w:rsid w:val="005C7590"/>
    <w:rsid w:val="005E0944"/>
    <w:rsid w:val="005F4483"/>
    <w:rsid w:val="005F6B34"/>
    <w:rsid w:val="00614A06"/>
    <w:rsid w:val="0061796C"/>
    <w:rsid w:val="00621B1B"/>
    <w:rsid w:val="00625D21"/>
    <w:rsid w:val="00631ADB"/>
    <w:rsid w:val="00631E16"/>
    <w:rsid w:val="0064495C"/>
    <w:rsid w:val="0065043B"/>
    <w:rsid w:val="006526E7"/>
    <w:rsid w:val="006541C7"/>
    <w:rsid w:val="00660986"/>
    <w:rsid w:val="006A0A35"/>
    <w:rsid w:val="006A2C12"/>
    <w:rsid w:val="006A6E8F"/>
    <w:rsid w:val="006B0239"/>
    <w:rsid w:val="006B0DE4"/>
    <w:rsid w:val="006C6C9C"/>
    <w:rsid w:val="006D34E8"/>
    <w:rsid w:val="006E0595"/>
    <w:rsid w:val="006E4931"/>
    <w:rsid w:val="006E5736"/>
    <w:rsid w:val="006F378C"/>
    <w:rsid w:val="006F7FBF"/>
    <w:rsid w:val="007072E7"/>
    <w:rsid w:val="00713696"/>
    <w:rsid w:val="00715D54"/>
    <w:rsid w:val="00721138"/>
    <w:rsid w:val="00723A63"/>
    <w:rsid w:val="007251CB"/>
    <w:rsid w:val="007256BB"/>
    <w:rsid w:val="00732567"/>
    <w:rsid w:val="007373B3"/>
    <w:rsid w:val="00745D42"/>
    <w:rsid w:val="00747018"/>
    <w:rsid w:val="00757E00"/>
    <w:rsid w:val="00775C6D"/>
    <w:rsid w:val="00780817"/>
    <w:rsid w:val="00790020"/>
    <w:rsid w:val="007B2C91"/>
    <w:rsid w:val="007B4C32"/>
    <w:rsid w:val="007C20CB"/>
    <w:rsid w:val="007D3184"/>
    <w:rsid w:val="007E5CF9"/>
    <w:rsid w:val="007F5167"/>
    <w:rsid w:val="00800B9C"/>
    <w:rsid w:val="00803599"/>
    <w:rsid w:val="00803DCB"/>
    <w:rsid w:val="008073B5"/>
    <w:rsid w:val="0081477A"/>
    <w:rsid w:val="00816D6E"/>
    <w:rsid w:val="00831B30"/>
    <w:rsid w:val="008372F4"/>
    <w:rsid w:val="00850E74"/>
    <w:rsid w:val="00860A73"/>
    <w:rsid w:val="008803DA"/>
    <w:rsid w:val="00883005"/>
    <w:rsid w:val="00887CD0"/>
    <w:rsid w:val="008902B9"/>
    <w:rsid w:val="008923C5"/>
    <w:rsid w:val="008A496D"/>
    <w:rsid w:val="008C7DD2"/>
    <w:rsid w:val="008D4AFC"/>
    <w:rsid w:val="008D4E74"/>
    <w:rsid w:val="008E0283"/>
    <w:rsid w:val="008E37B6"/>
    <w:rsid w:val="009106C5"/>
    <w:rsid w:val="00911CDF"/>
    <w:rsid w:val="009215CE"/>
    <w:rsid w:val="00940898"/>
    <w:rsid w:val="009676E0"/>
    <w:rsid w:val="009746D3"/>
    <w:rsid w:val="009878F5"/>
    <w:rsid w:val="00992406"/>
    <w:rsid w:val="00996B6B"/>
    <w:rsid w:val="009A646B"/>
    <w:rsid w:val="009C77C6"/>
    <w:rsid w:val="009C7FEA"/>
    <w:rsid w:val="009D319A"/>
    <w:rsid w:val="009E5FC5"/>
    <w:rsid w:val="009E6F59"/>
    <w:rsid w:val="009E7538"/>
    <w:rsid w:val="009F30D6"/>
    <w:rsid w:val="009F3B00"/>
    <w:rsid w:val="009F68CC"/>
    <w:rsid w:val="00A04CFE"/>
    <w:rsid w:val="00A06C01"/>
    <w:rsid w:val="00A071E4"/>
    <w:rsid w:val="00A16351"/>
    <w:rsid w:val="00A17278"/>
    <w:rsid w:val="00A227BF"/>
    <w:rsid w:val="00A2393F"/>
    <w:rsid w:val="00A26BBE"/>
    <w:rsid w:val="00A27321"/>
    <w:rsid w:val="00A43C57"/>
    <w:rsid w:val="00A44F8C"/>
    <w:rsid w:val="00A56A33"/>
    <w:rsid w:val="00A668D8"/>
    <w:rsid w:val="00A66D0F"/>
    <w:rsid w:val="00A81EBF"/>
    <w:rsid w:val="00A87709"/>
    <w:rsid w:val="00A918E7"/>
    <w:rsid w:val="00A928B5"/>
    <w:rsid w:val="00A944C8"/>
    <w:rsid w:val="00AA5FEE"/>
    <w:rsid w:val="00AB4BFE"/>
    <w:rsid w:val="00AC50C0"/>
    <w:rsid w:val="00AD22B9"/>
    <w:rsid w:val="00AD51C1"/>
    <w:rsid w:val="00AD7142"/>
    <w:rsid w:val="00AE2767"/>
    <w:rsid w:val="00AE3245"/>
    <w:rsid w:val="00AF21A4"/>
    <w:rsid w:val="00B111F1"/>
    <w:rsid w:val="00B11BCE"/>
    <w:rsid w:val="00B139BC"/>
    <w:rsid w:val="00B3602C"/>
    <w:rsid w:val="00B47F05"/>
    <w:rsid w:val="00B6264E"/>
    <w:rsid w:val="00B65F2F"/>
    <w:rsid w:val="00B73603"/>
    <w:rsid w:val="00B82252"/>
    <w:rsid w:val="00B827EC"/>
    <w:rsid w:val="00B848C3"/>
    <w:rsid w:val="00B86D66"/>
    <w:rsid w:val="00B957DA"/>
    <w:rsid w:val="00BC165B"/>
    <w:rsid w:val="00BC21AE"/>
    <w:rsid w:val="00BC52CA"/>
    <w:rsid w:val="00BC758A"/>
    <w:rsid w:val="00BD1255"/>
    <w:rsid w:val="00BD2B0F"/>
    <w:rsid w:val="00BD2E87"/>
    <w:rsid w:val="00BF5C2A"/>
    <w:rsid w:val="00BF6E04"/>
    <w:rsid w:val="00C04D17"/>
    <w:rsid w:val="00C15BEC"/>
    <w:rsid w:val="00C272F5"/>
    <w:rsid w:val="00C30250"/>
    <w:rsid w:val="00C54135"/>
    <w:rsid w:val="00C54DAA"/>
    <w:rsid w:val="00C60B7B"/>
    <w:rsid w:val="00C61C6D"/>
    <w:rsid w:val="00C6282E"/>
    <w:rsid w:val="00C70E98"/>
    <w:rsid w:val="00C8655F"/>
    <w:rsid w:val="00C92882"/>
    <w:rsid w:val="00CA27A0"/>
    <w:rsid w:val="00CC573D"/>
    <w:rsid w:val="00CF0250"/>
    <w:rsid w:val="00CF7123"/>
    <w:rsid w:val="00CF7472"/>
    <w:rsid w:val="00D122F7"/>
    <w:rsid w:val="00D17B98"/>
    <w:rsid w:val="00D23DD7"/>
    <w:rsid w:val="00D27185"/>
    <w:rsid w:val="00D40C8D"/>
    <w:rsid w:val="00D5357C"/>
    <w:rsid w:val="00D54CE3"/>
    <w:rsid w:val="00D57149"/>
    <w:rsid w:val="00D82BB6"/>
    <w:rsid w:val="00D936A9"/>
    <w:rsid w:val="00DA308C"/>
    <w:rsid w:val="00DA6D11"/>
    <w:rsid w:val="00DB00FA"/>
    <w:rsid w:val="00DB590E"/>
    <w:rsid w:val="00DD4827"/>
    <w:rsid w:val="00DE24B7"/>
    <w:rsid w:val="00DE5127"/>
    <w:rsid w:val="00E01EA5"/>
    <w:rsid w:val="00E12908"/>
    <w:rsid w:val="00E15E70"/>
    <w:rsid w:val="00E22699"/>
    <w:rsid w:val="00E32574"/>
    <w:rsid w:val="00E37226"/>
    <w:rsid w:val="00E549BE"/>
    <w:rsid w:val="00E56791"/>
    <w:rsid w:val="00E57BAC"/>
    <w:rsid w:val="00E6215B"/>
    <w:rsid w:val="00EA1265"/>
    <w:rsid w:val="00EA1A01"/>
    <w:rsid w:val="00EA36C5"/>
    <w:rsid w:val="00EB050B"/>
    <w:rsid w:val="00EC1A7B"/>
    <w:rsid w:val="00EC2B28"/>
    <w:rsid w:val="00ED3760"/>
    <w:rsid w:val="00ED4EF6"/>
    <w:rsid w:val="00EF010A"/>
    <w:rsid w:val="00EF37F8"/>
    <w:rsid w:val="00F01266"/>
    <w:rsid w:val="00F027C2"/>
    <w:rsid w:val="00F057B7"/>
    <w:rsid w:val="00F15CB7"/>
    <w:rsid w:val="00F1786E"/>
    <w:rsid w:val="00F3583D"/>
    <w:rsid w:val="00F36A60"/>
    <w:rsid w:val="00F36E39"/>
    <w:rsid w:val="00F42697"/>
    <w:rsid w:val="00F45DB5"/>
    <w:rsid w:val="00F57598"/>
    <w:rsid w:val="00F6073D"/>
    <w:rsid w:val="00F719B3"/>
    <w:rsid w:val="00F73D81"/>
    <w:rsid w:val="00F77AF5"/>
    <w:rsid w:val="00F8296B"/>
    <w:rsid w:val="00F86FBE"/>
    <w:rsid w:val="00F9340F"/>
    <w:rsid w:val="00FA1A54"/>
    <w:rsid w:val="00FA5172"/>
    <w:rsid w:val="00FC4808"/>
    <w:rsid w:val="00FC5BBE"/>
    <w:rsid w:val="00FC7F8A"/>
    <w:rsid w:val="00FD0018"/>
    <w:rsid w:val="00FD0571"/>
    <w:rsid w:val="00FD0E52"/>
    <w:rsid w:val="00FD4D8E"/>
    <w:rsid w:val="00FD5802"/>
    <w:rsid w:val="00FE5BE5"/>
    <w:rsid w:val="00FF2672"/>
    <w:rsid w:val="00FF5363"/>
    <w:rsid w:val="00FF640C"/>
    <w:rsid w:val="00FF694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D1A735"/>
  <w15:docId w15:val="{34F1A1C8-35A5-414A-9BD3-C1D0B33E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3A66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  <w:lang w:val="sl-SI" w:eastAsia="sr-Latn-CS"/>
    </w:rPr>
  </w:style>
  <w:style w:type="character" w:customStyle="1" w:styleId="BodyTextChar">
    <w:name w:val="Body Text Char"/>
    <w:basedOn w:val="DefaultParagraphFont"/>
    <w:link w:val="BodyText"/>
    <w:rsid w:val="00433A66"/>
    <w:rPr>
      <w:rFonts w:ascii="Arial" w:eastAsia="Times New Roman" w:hAnsi="Arial" w:cs="Arial"/>
      <w:lang w:val="sl-SI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1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1A54"/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9A"/>
    <w:rPr>
      <w:rFonts w:ascii="Tahoma" w:eastAsia="Times New Roman" w:hAnsi="Tahoma" w:cs="Tahoma"/>
      <w:sz w:val="16"/>
      <w:szCs w:val="16"/>
      <w:lang w:val="sr-Latn-CS" w:eastAsia="en-GB"/>
    </w:rPr>
  </w:style>
  <w:style w:type="character" w:styleId="Hyperlink">
    <w:name w:val="Hyperlink"/>
    <w:basedOn w:val="DefaultParagraphFont"/>
    <w:uiPriority w:val="99"/>
    <w:unhideWhenUsed/>
    <w:rsid w:val="000773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1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34"/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34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83"/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83"/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paragraph" w:styleId="ListParagraph">
    <w:name w:val="List Paragraph"/>
    <w:basedOn w:val="Normal"/>
    <w:uiPriority w:val="34"/>
    <w:qFormat/>
    <w:rsid w:val="008E37B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557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706"/>
    <w:rPr>
      <w:rFonts w:ascii="Tahoma" w:eastAsia="Times New Roman" w:hAnsi="Tahoma" w:cs="Tahoma"/>
      <w:sz w:val="16"/>
      <w:szCs w:val="16"/>
      <w:lang w:val="sr-Latn-CS" w:eastAsia="en-GB"/>
    </w:rPr>
  </w:style>
  <w:style w:type="paragraph" w:styleId="Header">
    <w:name w:val="header"/>
    <w:basedOn w:val="Normal"/>
    <w:link w:val="HeaderChar"/>
    <w:uiPriority w:val="99"/>
    <w:unhideWhenUsed/>
    <w:rsid w:val="00055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706"/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paragraph" w:styleId="Footer">
    <w:name w:val="footer"/>
    <w:basedOn w:val="Normal"/>
    <w:link w:val="FooterChar"/>
    <w:uiPriority w:val="99"/>
    <w:unhideWhenUsed/>
    <w:rsid w:val="00055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706"/>
    <w:rPr>
      <w:rFonts w:ascii="Times New Roman" w:eastAsia="Times New Roman" w:hAnsi="Times New Roman" w:cs="Times New Roman"/>
      <w:sz w:val="24"/>
      <w:szCs w:val="20"/>
      <w:lang w:val="sr-Latn-CS" w:eastAsia="en-GB"/>
    </w:rPr>
  </w:style>
  <w:style w:type="table" w:styleId="TableGrid">
    <w:name w:val="Table Grid"/>
    <w:basedOn w:val="TableNormal"/>
    <w:uiPriority w:val="59"/>
    <w:rsid w:val="006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3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C001-9B21-4C35-AC94-3FEAF8C9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Fintek Finansal Hizmetler A.S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Ziraat Bank Montenegro;Dzevad Djecevic</dc:creator>
  <cp:lastModifiedBy>Dževad Đečević</cp:lastModifiedBy>
  <cp:revision>3</cp:revision>
  <cp:lastPrinted>2015-07-28T12:37:00Z</cp:lastPrinted>
  <dcterms:created xsi:type="dcterms:W3CDTF">2017-03-09T14:15:00Z</dcterms:created>
  <dcterms:modified xsi:type="dcterms:W3CDTF">2017-03-09T14:16:00Z</dcterms:modified>
</cp:coreProperties>
</file>